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B" w:rsidRPr="00F500D2" w:rsidRDefault="00D44D6B" w:rsidP="00D44D6B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F379C8" wp14:editId="73939690">
            <wp:simplePos x="0" y="0"/>
            <wp:positionH relativeFrom="page">
              <wp:posOffset>-7620</wp:posOffset>
            </wp:positionH>
            <wp:positionV relativeFrom="paragraph">
              <wp:posOffset>-108585</wp:posOffset>
            </wp:positionV>
            <wp:extent cx="7765415" cy="9060180"/>
            <wp:effectExtent l="0" t="0" r="698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>
                      <a:off x="0" y="0"/>
                      <a:ext cx="7765415" cy="906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19.</w:t>
      </w:r>
    </w:p>
    <w:p w:rsidR="00D44D6B" w:rsidRPr="00F500D2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44D6B" w:rsidRPr="00F500D2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recopilación de 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:rsidR="00D44D6B" w:rsidRPr="00F500D2" w:rsidRDefault="00D44D6B" w:rsidP="00D44D6B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D44D6B" w:rsidTr="00445DCC">
        <w:tc>
          <w:tcPr>
            <w:tcW w:w="2830" w:type="dxa"/>
            <w:shd w:val="clear" w:color="auto" w:fill="F2F2F2" w:themeFill="background1" w:themeFillShade="F2"/>
          </w:tcPr>
          <w:p w:rsidR="00D44D6B" w:rsidRPr="00EF4C48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D44D6B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D44D6B" w:rsidTr="00445DCC">
        <w:tc>
          <w:tcPr>
            <w:tcW w:w="2830" w:type="dxa"/>
            <w:shd w:val="clear" w:color="auto" w:fill="F2F2F2" w:themeFill="background1" w:themeFillShade="F2"/>
          </w:tcPr>
          <w:p w:rsidR="00D44D6B" w:rsidRPr="00EF4C48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D44D6B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 xml:space="preserve">Rehabilitación de Parques y Jardines del municipio de Guasave. </w:t>
            </w:r>
          </w:p>
        </w:tc>
      </w:tr>
      <w:tr w:rsidR="00D44D6B" w:rsidTr="00445DCC">
        <w:tc>
          <w:tcPr>
            <w:tcW w:w="2830" w:type="dxa"/>
            <w:shd w:val="clear" w:color="auto" w:fill="F2F2F2" w:themeFill="background1" w:themeFillShade="F2"/>
          </w:tcPr>
          <w:p w:rsidR="00D44D6B" w:rsidRPr="00EF4C48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D44D6B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:rsidR="00D44D6B" w:rsidRPr="00F500D2" w:rsidRDefault="00D44D6B" w:rsidP="00D44D6B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D44D6B" w:rsidRPr="00F500D2" w:rsidRDefault="00D44D6B" w:rsidP="00D44D6B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:rsidR="00D44D6B" w:rsidRPr="00F500D2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D44D6B" w:rsidRPr="00F500D2" w:rsidTr="00445DCC">
        <w:tc>
          <w:tcPr>
            <w:tcW w:w="2547" w:type="dxa"/>
            <w:tcBorders>
              <w:right w:val="single" w:sz="4" w:space="0" w:color="auto"/>
            </w:tcBorders>
          </w:tcPr>
          <w:p w:rsidR="00D44D6B" w:rsidRPr="00F500D2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F500D2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D44D6B" w:rsidRPr="00F500D2" w:rsidTr="00445DCC">
        <w:tc>
          <w:tcPr>
            <w:tcW w:w="2547" w:type="dxa"/>
            <w:tcBorders>
              <w:right w:val="single" w:sz="4" w:space="0" w:color="auto"/>
            </w:tcBorders>
          </w:tcPr>
          <w:p w:rsidR="00D44D6B" w:rsidRPr="00F500D2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F500D2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D44D6B" w:rsidRPr="00F500D2" w:rsidTr="00445DCC">
        <w:tc>
          <w:tcPr>
            <w:tcW w:w="2547" w:type="dxa"/>
            <w:tcBorders>
              <w:right w:val="single" w:sz="4" w:space="0" w:color="auto"/>
            </w:tcBorders>
          </w:tcPr>
          <w:p w:rsidR="00D44D6B" w:rsidRPr="00F500D2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F500D2" w:rsidRDefault="00D44D6B" w:rsidP="00445D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:rsidR="00D44D6B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D44D6B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D44D6B" w:rsidRPr="00EE7A4B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D44D6B" w:rsidRPr="00EE7A4B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D44D6B" w:rsidRPr="00EE7A4B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D44D6B" w:rsidRPr="00EE7A4B" w:rsidRDefault="00D44D6B" w:rsidP="00D44D6B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:rsidR="00D44D6B" w:rsidRDefault="00D44D6B" w:rsidP="00D44D6B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para tener las áreas verdes de la ciudad en óptimas condiciones, para poder hacer uso de ellas de forma segura.</w:t>
      </w:r>
    </w:p>
    <w:p w:rsidR="00D44D6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D44D6B" w:rsidRPr="00EE7A4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:rsidR="00D44D6B" w:rsidRPr="00EE7A4B" w:rsidRDefault="00D44D6B" w:rsidP="00D44D6B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levantamiento que se realizó para conocer la problemática existente en el municipio de las áreas verdes, fue que se llegó a la decisión de atender dichos problemas ya que pudimos ver que se cuenta con mucha deficiencia en dichos temas y las condiciones de los mismos no son las más óptimas.</w:t>
      </w:r>
    </w:p>
    <w:p w:rsidR="00D44D6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D44D6B" w:rsidRPr="00EE7A4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:rsidR="00D44D6B" w:rsidRDefault="00D44D6B" w:rsidP="00D44D6B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El programa de Rehabilitación de parques y jardines, es una herramienta basada en un estudio amplio donde se lleva a cabo el conocimiento del problema a tratar, así como el levantamiento del mismo para conocer más a fondo la situación en la que nos encontramos y de esta forma poder mejorar las áreas con problemas, a su vez nos ayuda a medir la efectividad del trabajo con los avances que se van obteniendo día a día.</w:t>
      </w:r>
    </w:p>
    <w:p w:rsidR="00D44D6B" w:rsidRDefault="00D44D6B" w:rsidP="00D44D6B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D44D6B" w:rsidRDefault="00D44D6B" w:rsidP="00D44D6B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D44D6B" w:rsidRPr="00EE7A4B" w:rsidRDefault="00D44D6B" w:rsidP="00D44D6B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:rsidR="00D44D6B" w:rsidRDefault="00D44D6B" w:rsidP="00D44D6B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serían todas las personas de distintas edades, ya que al solucionar problemas de parques y jardines de la ciudad se podrán atender las personas tienen el habito de hacer ejercicio o llevar a sus hijos a los parques a divertirse de forma segura y sana.</w:t>
      </w:r>
    </w:p>
    <w:p w:rsidR="00D44D6B" w:rsidRPr="00EE7A4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D44D6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D44D6B" w:rsidRPr="00EE7A4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:rsidR="00D44D6B" w:rsidRPr="00850478" w:rsidRDefault="00D44D6B" w:rsidP="00D44D6B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:rsidR="00D44D6B" w:rsidRPr="009D45F7" w:rsidRDefault="00D44D6B" w:rsidP="00D44D6B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Mejorar las áreas verdes de los parques y jardines del municipio, convirtiéndolos en áreas bonitas y seguras para toda la ciudadanía en general.</w:t>
      </w:r>
    </w:p>
    <w:p w:rsidR="00D44D6B" w:rsidRPr="00D44D6B" w:rsidRDefault="00D44D6B" w:rsidP="00D44D6B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 xml:space="preserve">Mejorar servicio de plomería en todas las áreas comunes del municipio. </w:t>
      </w:r>
    </w:p>
    <w:p w:rsidR="00D44D6B" w:rsidRPr="003D5B2B" w:rsidRDefault="00D44D6B" w:rsidP="00D44D6B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</w:p>
    <w:p w:rsidR="00D44D6B" w:rsidRDefault="00D44D6B" w:rsidP="00D44D6B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D44D6B" w:rsidRPr="00EE7A4B" w:rsidRDefault="00D44D6B" w:rsidP="00D44D6B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36E218" wp14:editId="2E8C7EC6">
            <wp:simplePos x="0" y="0"/>
            <wp:positionH relativeFrom="page">
              <wp:align>right</wp:align>
            </wp:positionH>
            <wp:positionV relativeFrom="paragraph">
              <wp:posOffset>57150</wp:posOffset>
            </wp:positionV>
            <wp:extent cx="7766050" cy="8905875"/>
            <wp:effectExtent l="0" t="0" r="635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4"/>
                    <a:stretch/>
                  </pic:blipFill>
                  <pic:spPr bwMode="auto">
                    <a:xfrm>
                      <a:off x="0" y="0"/>
                      <a:ext cx="7766050" cy="890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:rsidR="00D44D6B" w:rsidRPr="003D5B2B" w:rsidRDefault="00D44D6B" w:rsidP="00D44D6B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 las localidades del municipio, con la colaboración de los propios beneficiarios.</w:t>
      </w:r>
    </w:p>
    <w:p w:rsidR="00D44D6B" w:rsidRDefault="00D44D6B" w:rsidP="00D44D6B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Proporcionar mantenimiento constante a camellones de bulevares, parques y jardines de la ciudad y del medio rural.</w:t>
      </w:r>
    </w:p>
    <w:p w:rsidR="00D44D6B" w:rsidRDefault="00D44D6B" w:rsidP="00D44D6B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rondines eventuales por toda la ciudad para asegurarnos que las áreas estén en las condiciones adecuadas.</w:t>
      </w:r>
    </w:p>
    <w:p w:rsidR="00D44D6B" w:rsidRDefault="00D44D6B" w:rsidP="00D44D6B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chequeos de tuberías y llaves para mantenerlos en adecuadas condiciones con ayuda de los plomeros.</w:t>
      </w:r>
    </w:p>
    <w:p w:rsidR="00D44D6B" w:rsidRDefault="00D44D6B" w:rsidP="00D44D6B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</w:p>
    <w:p w:rsidR="00D44D6B" w:rsidRPr="003D5B2B" w:rsidRDefault="00D44D6B" w:rsidP="00D44D6B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:rsidR="00D44D6B" w:rsidRDefault="00D44D6B" w:rsidP="00D44D6B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</w:t>
      </w:r>
      <w:r>
        <w:rPr>
          <w:rStyle w:val="Ninguno"/>
          <w:rFonts w:ascii="Arial" w:hAnsi="Arial" w:cs="Arial"/>
          <w:color w:val="auto"/>
          <w:sz w:val="24"/>
          <w:szCs w:val="24"/>
        </w:rPr>
        <w:t>licos municipales en el año 2019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:rsidR="00D44D6B" w:rsidRDefault="00D44D6B" w:rsidP="00D44D6B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2409"/>
      </w:tblGrid>
      <w:tr w:rsidR="00D44D6B" w:rsidRPr="00D44D6B" w:rsidTr="00D44D6B">
        <w:trPr>
          <w:trHeight w:val="37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Y LIMPIA</w:t>
            </w:r>
          </w:p>
        </w:tc>
      </w:tr>
      <w:tr w:rsidR="00D44D6B" w:rsidRPr="00D44D6B" w:rsidTr="00D44D6B">
        <w:trPr>
          <w:trHeight w:val="360"/>
          <w:jc w:val="center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BARRIDO MANUAL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12,000 KMS</w:t>
            </w:r>
          </w:p>
        </w:tc>
      </w:tr>
      <w:tr w:rsidR="00D44D6B" w:rsidRPr="00D44D6B" w:rsidTr="00D44D6B">
        <w:trPr>
          <w:trHeight w:val="360"/>
          <w:jc w:val="center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RAMA Y ESCOMBRO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6,000 TONS</w:t>
            </w:r>
          </w:p>
        </w:tc>
      </w:tr>
      <w:tr w:rsidR="00D44D6B" w:rsidRPr="00D44D6B" w:rsidTr="00D44D6B">
        <w:trPr>
          <w:trHeight w:val="360"/>
          <w:jc w:val="center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BARRIDO MECANICO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2,200 KMS</w:t>
            </w:r>
          </w:p>
        </w:tc>
      </w:tr>
      <w:tr w:rsidR="00D44D6B" w:rsidRPr="00D44D6B" w:rsidTr="00D44D6B">
        <w:trPr>
          <w:trHeight w:val="360"/>
          <w:jc w:val="center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PINTADO Y GUARNICIONES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3,500 KMS</w:t>
            </w:r>
          </w:p>
        </w:tc>
      </w:tr>
      <w:tr w:rsidR="00D44D6B" w:rsidRPr="00D44D6B" w:rsidTr="00D44D6B">
        <w:trPr>
          <w:trHeight w:val="360"/>
          <w:jc w:val="center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ENCALADO DE ARBOLES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3,500 PZ</w:t>
            </w:r>
          </w:p>
        </w:tc>
      </w:tr>
      <w:tr w:rsidR="00D44D6B" w:rsidRPr="00D44D6B" w:rsidTr="00D44D6B">
        <w:trPr>
          <w:trHeight w:val="360"/>
          <w:jc w:val="center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REVESTIMIENTO/PINTURA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 TRABAJOS</w:t>
            </w:r>
          </w:p>
        </w:tc>
      </w:tr>
    </w:tbl>
    <w:p w:rsidR="00D44D6B" w:rsidRPr="003D5B2B" w:rsidRDefault="00D44D6B" w:rsidP="00D44D6B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D44D6B" w:rsidRPr="00EE7A4B" w:rsidRDefault="00D44D6B" w:rsidP="00D44D6B">
      <w:pPr>
        <w:pStyle w:val="Cuerpo"/>
        <w:rPr>
          <w:rFonts w:ascii="Arial" w:hAnsi="Arial" w:cs="Arial"/>
          <w:b/>
          <w:sz w:val="24"/>
          <w:szCs w:val="24"/>
        </w:rPr>
      </w:pPr>
      <w:r w:rsidRPr="00EE7A4B">
        <w:rPr>
          <w:rFonts w:ascii="Arial" w:hAnsi="Arial" w:cs="Arial"/>
          <w:b/>
          <w:sz w:val="24"/>
          <w:szCs w:val="24"/>
        </w:rPr>
        <w:t xml:space="preserve">8. Presupuesto asignado. </w:t>
      </w:r>
    </w:p>
    <w:p w:rsidR="00D44D6B" w:rsidRDefault="00D44D6B" w:rsidP="00D44D6B">
      <w:pPr>
        <w:pStyle w:val="Cuerpo"/>
        <w:keepNext/>
        <w:rPr>
          <w:rFonts w:ascii="Arial" w:hAnsi="Arial" w:cs="Arial"/>
          <w:sz w:val="24"/>
          <w:szCs w:val="24"/>
        </w:rPr>
      </w:pPr>
    </w:p>
    <w:p w:rsidR="00D44D6B" w:rsidRDefault="00D44D6B" w:rsidP="00D44D6B">
      <w:pPr>
        <w:pStyle w:val="Cuerpo"/>
        <w:keepNext/>
        <w:rPr>
          <w:rFonts w:ascii="Arial" w:hAnsi="Arial" w:cs="Arial"/>
          <w:sz w:val="24"/>
          <w:szCs w:val="24"/>
        </w:rPr>
      </w:pPr>
    </w:p>
    <w:p w:rsidR="00D44D6B" w:rsidRDefault="00D44D6B" w:rsidP="00D44D6B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diciembre.</w:t>
      </w:r>
    </w:p>
    <w:p w:rsidR="00D44D6B" w:rsidRDefault="00D44D6B" w:rsidP="00D44D6B">
      <w:pPr>
        <w:pStyle w:val="Cuerpo"/>
        <w:keepNext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1812" w:type="dxa"/>
        <w:tblInd w:w="-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8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40"/>
      </w:tblGrid>
      <w:tr w:rsidR="00D44D6B" w:rsidRPr="00D44D6B" w:rsidTr="00D44D6B">
        <w:trPr>
          <w:trHeight w:val="368"/>
        </w:trPr>
        <w:tc>
          <w:tcPr>
            <w:tcW w:w="1181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CRONOGRAMA DE ACCION</w:t>
            </w:r>
          </w:p>
        </w:tc>
      </w:tr>
      <w:tr w:rsidR="00D44D6B" w:rsidRPr="00D44D6B" w:rsidTr="00D44D6B">
        <w:trPr>
          <w:trHeight w:val="368"/>
        </w:trPr>
        <w:tc>
          <w:tcPr>
            <w:tcW w:w="11812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44D6B" w:rsidRPr="00D44D6B" w:rsidTr="00D44D6B">
        <w:trPr>
          <w:trHeight w:val="33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ACCION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ABR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AGO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OCT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D44D6B" w:rsidRPr="00D44D6B" w:rsidTr="00D44D6B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BARRIDO MANUAL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 KM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12,000</w:t>
            </w:r>
          </w:p>
        </w:tc>
      </w:tr>
      <w:tr w:rsidR="00D44D6B" w:rsidRPr="00D44D6B" w:rsidTr="00D44D6B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RAMA Y ESCOMBRO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 TON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6000</w:t>
            </w:r>
          </w:p>
        </w:tc>
      </w:tr>
      <w:tr w:rsidR="00D44D6B" w:rsidRPr="00D44D6B" w:rsidTr="00D44D6B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BARRIDO MECANICO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 KM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2,200</w:t>
            </w:r>
          </w:p>
        </w:tc>
      </w:tr>
      <w:tr w:rsidR="00D44D6B" w:rsidRPr="00D44D6B" w:rsidTr="00D44D6B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PINTADO Y GUARNICIONES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300KM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3,500</w:t>
            </w:r>
          </w:p>
        </w:tc>
      </w:tr>
      <w:tr w:rsidR="00D44D6B" w:rsidRPr="00D44D6B" w:rsidTr="00D44D6B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ENCALADO DE ARBOLES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200PZ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350PZ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3,500</w:t>
            </w:r>
          </w:p>
        </w:tc>
      </w:tr>
      <w:tr w:rsidR="00D44D6B" w:rsidRPr="00D44D6B" w:rsidTr="00D44D6B">
        <w:trPr>
          <w:trHeight w:val="36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REVESTIMIENTO/PINTURA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D6B" w:rsidRPr="00D44D6B" w:rsidRDefault="00D44D6B" w:rsidP="00D44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4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</w:tbl>
    <w:p w:rsidR="00D44D6B" w:rsidRPr="00E87340" w:rsidRDefault="00D44D6B" w:rsidP="00D44D6B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p w:rsidR="00D44D6B" w:rsidRDefault="00D44D6B" w:rsidP="00D44D6B">
      <w:pPr>
        <w:rPr>
          <w:noProof/>
          <w:lang w:eastAsia="es-MX"/>
        </w:rPr>
      </w:pPr>
    </w:p>
    <w:p w:rsidR="00D44D6B" w:rsidRDefault="00D44D6B" w:rsidP="00D44D6B">
      <w:r w:rsidRPr="00DC6255">
        <w:t xml:space="preserve"> </w:t>
      </w:r>
    </w:p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D44D6B" w:rsidRDefault="00D44D6B" w:rsidP="00D44D6B"/>
    <w:p w:rsidR="00965194" w:rsidRDefault="00965194"/>
    <w:sectPr w:rsidR="00965194" w:rsidSect="00E87340">
      <w:headerReference w:type="default" r:id="rId6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CB" w:rsidRDefault="00D44D6B" w:rsidP="001D0EC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C74713F" wp14:editId="7A2970AC">
          <wp:extent cx="3589020" cy="571500"/>
          <wp:effectExtent l="0" t="0" r="0" b="0"/>
          <wp:docPr id="3" name="Imagen 3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B"/>
    <w:rsid w:val="00965194"/>
    <w:rsid w:val="00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E9330-25A1-4C2A-B213-DD2B1CC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6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D6B"/>
    <w:rPr>
      <w:sz w:val="24"/>
      <w:szCs w:val="24"/>
    </w:rPr>
  </w:style>
  <w:style w:type="table" w:styleId="Tablaconcuadrcula">
    <w:name w:val="Table Grid"/>
    <w:basedOn w:val="Tablanormal"/>
    <w:uiPriority w:val="39"/>
    <w:rsid w:val="00D44D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44D6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4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2020-06-25T16:39:00Z</dcterms:created>
  <dcterms:modified xsi:type="dcterms:W3CDTF">2020-06-25T16:49:00Z</dcterms:modified>
</cp:coreProperties>
</file>